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101B6" w14:textId="454C67D5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Century Gothic" w:hAnsi="Century Gothic" w:cs="Verdana"/>
          <w:b/>
        </w:rPr>
      </w:pPr>
      <w:r w:rsidRPr="00365AB9">
        <w:rPr>
          <w:rFonts w:ascii="Century Gothic" w:hAnsi="Century Gothic" w:cs="Verdana"/>
          <w:b/>
        </w:rPr>
        <w:t xml:space="preserve">I RISULTATI DELL’INDAGINE </w:t>
      </w:r>
      <w:r w:rsidRPr="00365AB9">
        <w:rPr>
          <w:rFonts w:ascii="Century Gothic" w:hAnsi="Century Gothic"/>
          <w:b/>
        </w:rPr>
        <w:t xml:space="preserve">“L’IMMAGINE DELLA MONTAGNA </w:t>
      </w:r>
      <w:proofErr w:type="gramStart"/>
      <w:r w:rsidRPr="00365AB9">
        <w:rPr>
          <w:rFonts w:ascii="Century Gothic" w:hAnsi="Century Gothic"/>
          <w:b/>
        </w:rPr>
        <w:t>ITALIANA”</w:t>
      </w:r>
      <w:bookmarkStart w:id="0" w:name="_GoBack"/>
      <w:bookmarkEnd w:id="0"/>
      <w:r w:rsidRPr="00365AB9">
        <w:rPr>
          <w:rFonts w:ascii="Century Gothic" w:hAnsi="Century Gothic"/>
          <w:b/>
        </w:rPr>
        <w:t>|</w:t>
      </w:r>
      <w:proofErr w:type="gramEnd"/>
      <w:r w:rsidRPr="00365AB9">
        <w:rPr>
          <w:rFonts w:ascii="Century Gothic" w:hAnsi="Century Gothic"/>
          <w:b/>
        </w:rPr>
        <w:t xml:space="preserve"> in breve</w:t>
      </w:r>
      <w:r w:rsidRPr="00365AB9">
        <w:rPr>
          <w:rFonts w:ascii="Century Gothic" w:hAnsi="Century Gothic" w:cs="Verdana"/>
          <w:b/>
        </w:rPr>
        <w:br/>
      </w:r>
    </w:p>
    <w:p w14:paraId="44DB8BDE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 xml:space="preserve">I risultati descrivono, come una fotografia, lo stato dell’arte </w:t>
      </w:r>
      <w:r w:rsidRPr="00365AB9">
        <w:rPr>
          <w:rFonts w:ascii="Century Gothic" w:eastAsia="Times New Roman" w:hAnsi="Century Gothic" w:cs="Arial"/>
          <w:b/>
          <w:lang w:eastAsia="it-IT"/>
        </w:rPr>
        <w:t>del</w:t>
      </w:r>
      <w:r w:rsidRPr="00365AB9">
        <w:rPr>
          <w:rFonts w:ascii="Century Gothic" w:eastAsia="Times New Roman" w:hAnsi="Century Gothic" w:cs="Arial"/>
          <w:lang w:eastAsia="it-IT"/>
        </w:rPr>
        <w:t xml:space="preserve"> </w:t>
      </w:r>
      <w:r w:rsidRPr="00365AB9">
        <w:rPr>
          <w:rFonts w:ascii="Century Gothic" w:eastAsia="Times New Roman" w:hAnsi="Century Gothic" w:cs="Arial"/>
          <w:b/>
          <w:lang w:eastAsia="it-IT"/>
        </w:rPr>
        <w:t>turismo di montagna</w:t>
      </w:r>
      <w:r w:rsidRPr="00365AB9">
        <w:rPr>
          <w:rFonts w:ascii="Century Gothic" w:eastAsia="Times New Roman" w:hAnsi="Century Gothic" w:cs="Arial"/>
          <w:lang w:eastAsia="it-IT"/>
        </w:rPr>
        <w:t xml:space="preserve">, dando preziose indicazioni per ipotizzare le </w:t>
      </w:r>
      <w:r w:rsidRPr="00365AB9">
        <w:rPr>
          <w:rFonts w:ascii="Century Gothic" w:eastAsia="Times New Roman" w:hAnsi="Century Gothic" w:cs="Arial"/>
          <w:b/>
          <w:lang w:eastAsia="it-IT"/>
        </w:rPr>
        <w:t>strategie di marketing del futuro</w:t>
      </w:r>
      <w:r w:rsidRPr="00365AB9">
        <w:rPr>
          <w:rFonts w:ascii="Century Gothic" w:eastAsia="Times New Roman" w:hAnsi="Century Gothic" w:cs="Arial"/>
          <w:lang w:eastAsia="it-IT"/>
        </w:rPr>
        <w:t xml:space="preserve">. </w:t>
      </w:r>
    </w:p>
    <w:p w14:paraId="35919B17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 xml:space="preserve">Se il mare, in estate, è la </w:t>
      </w:r>
      <w:r w:rsidRPr="00365AB9">
        <w:rPr>
          <w:rFonts w:ascii="Century Gothic" w:hAnsi="Century Gothic" w:cs="Verdana"/>
          <w:b/>
        </w:rPr>
        <w:t>meta prediletta</w:t>
      </w:r>
      <w:r w:rsidRPr="00365AB9">
        <w:rPr>
          <w:rFonts w:ascii="Century Gothic" w:hAnsi="Century Gothic" w:cs="Verdana"/>
        </w:rPr>
        <w:t xml:space="preserve"> del 67% degli intervistati, in seconda posizione c’è la montagna, al 15%. In inverno la situazione si ribalta, e se il 15% resta fedele alle spiagge, montagna e città d’arte sono prime, pari merito, con il 35% delle preferenze. </w:t>
      </w:r>
    </w:p>
    <w:p w14:paraId="2DF79A39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 xml:space="preserve">Gli italiani si dividono nel giudizio sulle vacanze in montagna: accanto a un </w:t>
      </w:r>
      <w:r w:rsidRPr="00365AB9">
        <w:rPr>
          <w:rFonts w:ascii="Century Gothic" w:hAnsi="Century Gothic" w:cs="Verdana"/>
          <w:b/>
        </w:rPr>
        <w:t>30% di appassionati</w:t>
      </w:r>
      <w:r w:rsidRPr="00365AB9">
        <w:rPr>
          <w:rFonts w:ascii="Century Gothic" w:hAnsi="Century Gothic" w:cs="Verdana"/>
        </w:rPr>
        <w:t xml:space="preserve">, sia in estate che in inverno, esiste un </w:t>
      </w:r>
      <w:r w:rsidRPr="00365AB9">
        <w:rPr>
          <w:rFonts w:ascii="Century Gothic" w:hAnsi="Century Gothic" w:cs="Verdana"/>
          <w:b/>
        </w:rPr>
        <w:t>40% di “</w:t>
      </w:r>
      <w:proofErr w:type="spellStart"/>
      <w:r w:rsidRPr="00365AB9">
        <w:rPr>
          <w:rFonts w:ascii="Century Gothic" w:hAnsi="Century Gothic" w:cs="Verdana"/>
          <w:b/>
        </w:rPr>
        <w:t>rejector</w:t>
      </w:r>
      <w:proofErr w:type="spellEnd"/>
      <w:r w:rsidRPr="00365AB9">
        <w:rPr>
          <w:rFonts w:ascii="Century Gothic" w:hAnsi="Century Gothic" w:cs="Verdana"/>
          <w:b/>
        </w:rPr>
        <w:t>”</w:t>
      </w:r>
      <w:r w:rsidRPr="00365AB9">
        <w:rPr>
          <w:rFonts w:ascii="Century Gothic" w:hAnsi="Century Gothic" w:cs="Verdana"/>
        </w:rPr>
        <w:t xml:space="preserve"> che non ci andrebbero mai. Discriminante è però la stagione: in pochi amano o odiano la montagna a prescindere dal periodo di vacanza. Relax in mezzo alla natura, passeggiate ed escursioni sono le tre </w:t>
      </w:r>
      <w:r w:rsidRPr="00365AB9">
        <w:rPr>
          <w:rFonts w:ascii="Century Gothic" w:hAnsi="Century Gothic" w:cs="Verdana"/>
          <w:b/>
        </w:rPr>
        <w:t>attività più plebiscitate</w:t>
      </w:r>
      <w:r w:rsidRPr="00365AB9">
        <w:rPr>
          <w:rFonts w:ascii="Century Gothic" w:hAnsi="Century Gothic" w:cs="Verdana"/>
        </w:rPr>
        <w:t xml:space="preserve">, seguite, in ordine, dalla cucina locale, lo sci da discesa, la bici, lo sci di fondo, la pesca e l’arrampicata. Tra </w:t>
      </w:r>
      <w:r w:rsidRPr="00365AB9">
        <w:rPr>
          <w:rFonts w:ascii="Century Gothic" w:hAnsi="Century Gothic" w:cs="Verdana"/>
          <w:b/>
        </w:rPr>
        <w:t>i punti negativi</w:t>
      </w:r>
      <w:r w:rsidRPr="00365AB9">
        <w:rPr>
          <w:rFonts w:ascii="Century Gothic" w:hAnsi="Century Gothic" w:cs="Verdana"/>
        </w:rPr>
        <w:t xml:space="preserve"> evidenziati, il clima freddo e instabile, la noia (carenza di pub e discoteche, eccesso di tranquillità), il costo ritenuto eccessivo, la distanza. </w:t>
      </w:r>
    </w:p>
    <w:p w14:paraId="0EE44085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 xml:space="preserve">Se costretto a “scegliere”, l’intero campione di intervistati si scinde in due, con il </w:t>
      </w:r>
      <w:r w:rsidRPr="00365AB9">
        <w:rPr>
          <w:rFonts w:ascii="Century Gothic" w:hAnsi="Century Gothic" w:cs="Verdana"/>
          <w:b/>
        </w:rPr>
        <w:t>51% che sceglierebbero l’estate e il 49% l’inverno</w:t>
      </w:r>
      <w:r w:rsidRPr="00365AB9">
        <w:rPr>
          <w:rFonts w:ascii="Century Gothic" w:hAnsi="Century Gothic" w:cs="Verdana"/>
        </w:rPr>
        <w:t xml:space="preserve">. La possibilità di </w:t>
      </w:r>
      <w:r w:rsidRPr="00365AB9">
        <w:rPr>
          <w:rFonts w:ascii="Century Gothic" w:hAnsi="Century Gothic" w:cs="Verdana"/>
          <w:b/>
        </w:rPr>
        <w:t>raggiungere comodamente la meta</w:t>
      </w:r>
      <w:r w:rsidRPr="00365AB9">
        <w:rPr>
          <w:rFonts w:ascii="Century Gothic" w:hAnsi="Century Gothic" w:cs="Verdana"/>
        </w:rPr>
        <w:t xml:space="preserve"> è molto importante: complessivamente, su 100 persone, 86 preferiscono trascorrere le </w:t>
      </w:r>
      <w:r w:rsidRPr="00365AB9">
        <w:rPr>
          <w:rFonts w:ascii="Century Gothic" w:hAnsi="Century Gothic" w:cs="Verdana"/>
          <w:b/>
        </w:rPr>
        <w:t>vacanze di montagna in Italia</w:t>
      </w:r>
      <w:r w:rsidRPr="00365AB9">
        <w:rPr>
          <w:rFonts w:ascii="Century Gothic" w:hAnsi="Century Gothic" w:cs="Verdana"/>
        </w:rPr>
        <w:t xml:space="preserve">, mentre 10 scelgono mete vicine per quanto oltreconfine, come Austria, Svizzera o Francia. In effetti chi opta per la Penisola lo fa prevalentemente per la minore distanza (47%), ma anche per ragioni di abitudini e stili di vita (38%) e motivi di comprensione linguistica. </w:t>
      </w:r>
    </w:p>
    <w:p w14:paraId="658BF08D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 xml:space="preserve">Le due principali stagioni attirano target in parte diversi, con esigenze differenti. </w:t>
      </w:r>
    </w:p>
    <w:p w14:paraId="449840F1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>L’</w:t>
      </w:r>
      <w:r w:rsidRPr="00365AB9">
        <w:rPr>
          <w:rFonts w:ascii="Century Gothic" w:hAnsi="Century Gothic" w:cs="Verdana"/>
          <w:b/>
          <w:bCs/>
        </w:rPr>
        <w:t>inverno</w:t>
      </w:r>
      <w:r w:rsidRPr="00365AB9">
        <w:rPr>
          <w:rFonts w:ascii="Century Gothic" w:hAnsi="Century Gothic" w:cs="Verdana"/>
        </w:rPr>
        <w:t xml:space="preserve"> attira più i </w:t>
      </w:r>
      <w:r w:rsidRPr="00365AB9">
        <w:rPr>
          <w:rFonts w:ascii="Century Gothic" w:hAnsi="Century Gothic" w:cs="Verdana"/>
          <w:b/>
          <w:bCs/>
        </w:rPr>
        <w:t>giovani</w:t>
      </w:r>
      <w:r w:rsidRPr="00365AB9">
        <w:rPr>
          <w:rFonts w:ascii="Century Gothic" w:hAnsi="Century Gothic" w:cs="Verdana"/>
        </w:rPr>
        <w:t xml:space="preserve"> in cerca di sport e attività, mentre in estate la montagna piace soprattutto ai </w:t>
      </w:r>
      <w:r w:rsidRPr="00365AB9">
        <w:rPr>
          <w:rFonts w:ascii="Century Gothic" w:hAnsi="Century Gothic" w:cs="Verdana"/>
          <w:b/>
          <w:bCs/>
        </w:rPr>
        <w:t>meno giovani</w:t>
      </w:r>
      <w:r w:rsidRPr="00365AB9">
        <w:rPr>
          <w:rFonts w:ascii="Century Gothic" w:hAnsi="Century Gothic" w:cs="Verdana"/>
        </w:rPr>
        <w:t xml:space="preserve">, che cercano fresco e tranquillità. </w:t>
      </w:r>
    </w:p>
    <w:p w14:paraId="200030B9" w14:textId="77777777" w:rsidR="0091760F" w:rsidRPr="00365AB9" w:rsidRDefault="0091760F" w:rsidP="0091760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  <w:b/>
        </w:rPr>
        <w:t>In inverno</w:t>
      </w:r>
      <w:r w:rsidRPr="00365AB9">
        <w:rPr>
          <w:rFonts w:ascii="Century Gothic" w:hAnsi="Century Gothic" w:cs="Verdana"/>
        </w:rPr>
        <w:t xml:space="preserve">, quasi la metà degli intervistati (46%) predilige i mesi di gennaio e febbraio, il 29% sceglie il periodo di Natale o capodanno, il 37% approfitta dei weekend, e percentuali decisamente più basse viaggiano durante il ponte dell’Immacolata (6%) o a Pasqua (7%). La maggioranza soggiorna in hotel o B&amp;B, mentre il 14% affitta una casa e il 14% possiede una casa propria. La lunghezza del soggiorno sfiora, in media, gli 8 giorni, 3,8 dei quali vengono dedicati allo sci. </w:t>
      </w:r>
    </w:p>
    <w:p w14:paraId="022F495E" w14:textId="77777777" w:rsidR="00330570" w:rsidRPr="00365AB9" w:rsidRDefault="0091760F" w:rsidP="00330570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  <w:r w:rsidRPr="00365AB9">
        <w:rPr>
          <w:rFonts w:ascii="Century Gothic" w:hAnsi="Century Gothic" w:cs="Verdana"/>
        </w:rPr>
        <w:t xml:space="preserve">Invece il 44% di chi sceglie la montagna </w:t>
      </w:r>
      <w:r w:rsidRPr="00365AB9">
        <w:rPr>
          <w:rFonts w:ascii="Century Gothic" w:hAnsi="Century Gothic" w:cs="Verdana"/>
          <w:b/>
        </w:rPr>
        <w:t>in estate</w:t>
      </w:r>
      <w:r w:rsidRPr="00365AB9">
        <w:rPr>
          <w:rFonts w:ascii="Century Gothic" w:hAnsi="Century Gothic" w:cs="Verdana"/>
        </w:rPr>
        <w:t xml:space="preserve"> utilizza i weekend, il 32% fa vacanza ad agosto, e il 26% tra giugno e luglio, mentre il 17% sfrutta i ponti primaverili ed estivi. Questo target viaggia prevalentemente con il compagno e senza figli (40%), con gli amici (29%), e con il compagno e i figli (28%).  Anche i turisti estivi amano gli hotel e i B&amp;B (44%), mentre il 26% affitta casa, il 19% possiede un’abitazione propria e l’11% utilizza camper e campeggi. Il periodo di vacanza sfiora i 10 giorni. La ricerca evidenzia una </w:t>
      </w:r>
      <w:r w:rsidRPr="00365AB9">
        <w:rPr>
          <w:rFonts w:ascii="Century Gothic" w:hAnsi="Century Gothic" w:cs="Verdana"/>
          <w:b/>
          <w:bCs/>
        </w:rPr>
        <w:t xml:space="preserve">moderata percezione </w:t>
      </w:r>
      <w:r w:rsidRPr="00365AB9">
        <w:rPr>
          <w:rFonts w:ascii="Century Gothic" w:hAnsi="Century Gothic" w:cs="Verdana"/>
        </w:rPr>
        <w:t xml:space="preserve">dell’utilità degli </w:t>
      </w:r>
      <w:r w:rsidRPr="00365AB9">
        <w:rPr>
          <w:rFonts w:ascii="Century Gothic" w:hAnsi="Century Gothic" w:cs="Verdana"/>
          <w:b/>
          <w:bCs/>
        </w:rPr>
        <w:t>impianti di risalita</w:t>
      </w:r>
      <w:r w:rsidRPr="00365AB9">
        <w:rPr>
          <w:rFonts w:ascii="Century Gothic" w:hAnsi="Century Gothic" w:cs="Verdana"/>
        </w:rPr>
        <w:t xml:space="preserve">, percezione che si accentua tra chi frequenta, e quindi conosce meglio, la montagna. “Appare quindi necessario sviluppare e comunicare una </w:t>
      </w:r>
      <w:r w:rsidRPr="00365AB9">
        <w:rPr>
          <w:rFonts w:ascii="Century Gothic" w:hAnsi="Century Gothic" w:cs="Verdana"/>
          <w:b/>
          <w:bCs/>
        </w:rPr>
        <w:t>cultura della montagna</w:t>
      </w:r>
      <w:r w:rsidRPr="00365AB9">
        <w:rPr>
          <w:rFonts w:ascii="Century Gothic" w:hAnsi="Century Gothic" w:cs="Verdana"/>
        </w:rPr>
        <w:t xml:space="preserve">, che </w:t>
      </w:r>
      <w:r w:rsidRPr="00365AB9">
        <w:rPr>
          <w:rFonts w:ascii="Century Gothic" w:hAnsi="Century Gothic" w:cs="Verdana"/>
          <w:b/>
          <w:bCs/>
        </w:rPr>
        <w:t xml:space="preserve">valorizzi l’importanza </w:t>
      </w:r>
      <w:r w:rsidRPr="00365AB9">
        <w:rPr>
          <w:rFonts w:ascii="Century Gothic" w:hAnsi="Century Gothic" w:cs="Verdana"/>
        </w:rPr>
        <w:t xml:space="preserve">degli impianti, e magari ne sottolineai anche i vantaggi rispetto a quelli fuori dall’Italia” si legge tra le conclusioni dello studio. </w:t>
      </w:r>
    </w:p>
    <w:p w14:paraId="135844FE" w14:textId="77777777" w:rsidR="006022E2" w:rsidRPr="00365AB9" w:rsidRDefault="006022E2" w:rsidP="00330570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</w:p>
    <w:p w14:paraId="3C5B8264" w14:textId="77777777" w:rsidR="006022E2" w:rsidRPr="00365AB9" w:rsidRDefault="006022E2" w:rsidP="00330570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 w:cs="Verdana"/>
        </w:rPr>
      </w:pPr>
    </w:p>
    <w:p w14:paraId="3E47E75E" w14:textId="6B1E5E0F" w:rsidR="00871072" w:rsidRDefault="00871072" w:rsidP="00330570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entury Gothic" w:hAnsi="Century Gothic"/>
          <w:b/>
          <w:bCs/>
        </w:rPr>
      </w:pPr>
      <w:r>
        <w:rPr>
          <w:rFonts w:ascii="Cambria" w:hAnsi="Cambri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CCC0CD" wp14:editId="17B8A3F4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734695" cy="1211580"/>
            <wp:effectExtent l="0" t="0" r="8255" b="7620"/>
            <wp:wrapSquare wrapText="bothSides"/>
            <wp:docPr id="2" name="Immagine 2" descr="Logo_OMNIA_RELATIONS_vert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OMNIA_RELATIONS_vertic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>Ufficio stampa Assemblea Generale 2016 _ OMNIA Relations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 xml:space="preserve">OMNIA FACTORY, T. + 39 051 6939166, OMNIA LAB, T. + 39 051 261449 </w:t>
      </w:r>
    </w:p>
    <w:p w14:paraId="6783D72A" w14:textId="77777777" w:rsidR="00871072" w:rsidRDefault="00871072" w:rsidP="0087107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Media Relations | Chiara Caliceti |</w:t>
      </w:r>
      <w:hyperlink r:id="rId9" w:history="1">
        <w:r>
          <w:rPr>
            <w:rStyle w:val="Collegamentoipertestuale"/>
            <w:rFonts w:ascii="Century Gothic" w:hAnsi="Century Gothic"/>
          </w:rPr>
          <w:t>chiara.caliceti@omniarelations.com</w:t>
        </w:r>
      </w:hyperlink>
    </w:p>
    <w:p w14:paraId="47E2542D" w14:textId="2DFDB05A" w:rsidR="00871072" w:rsidRPr="00871072" w:rsidRDefault="00871072" w:rsidP="00871072">
      <w:pPr>
        <w:spacing w:after="0"/>
        <w:rPr>
          <w:rFonts w:ascii="Century Gothic" w:hAnsi="Century Gothic"/>
        </w:rPr>
      </w:pPr>
      <w:r w:rsidRPr="00871072">
        <w:rPr>
          <w:rFonts w:ascii="Century Gothic" w:hAnsi="Century Gothic"/>
        </w:rPr>
        <w:t xml:space="preserve">Press Office | Alessandra Iozzia | </w:t>
      </w:r>
      <w:hyperlink r:id="rId10" w:history="1">
        <w:r w:rsidRPr="00BD79C6">
          <w:rPr>
            <w:rStyle w:val="Collegamentoipertestuale"/>
            <w:rFonts w:ascii="Century Gothic" w:hAnsi="Century Gothic"/>
          </w:rPr>
          <w:t>alessandra.iozzia@omniarelations.com</w:t>
        </w:r>
      </w:hyperlink>
      <w:r w:rsidRPr="00871072">
        <w:rPr>
          <w:rFonts w:ascii="Century Gothic" w:hAnsi="Century Gothic"/>
        </w:rPr>
        <w:t xml:space="preserve"> |</w:t>
      </w:r>
    </w:p>
    <w:p w14:paraId="50C42E18" w14:textId="2A06E791" w:rsidR="00871072" w:rsidRDefault="00871072" w:rsidP="0087107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M. + 39 333 3835185</w:t>
      </w:r>
    </w:p>
    <w:p w14:paraId="11293034" w14:textId="77777777" w:rsidR="00871072" w:rsidRDefault="00595011" w:rsidP="00871072">
      <w:pPr>
        <w:spacing w:after="0"/>
        <w:rPr>
          <w:rFonts w:ascii="Century Gothic" w:hAnsi="Century Gothic"/>
          <w:color w:val="0000FF"/>
        </w:rPr>
      </w:pPr>
      <w:hyperlink r:id="rId11" w:history="1">
        <w:r w:rsidR="00871072">
          <w:rPr>
            <w:rStyle w:val="Collegamentoipertestuale"/>
            <w:rFonts w:ascii="Century Gothic" w:hAnsi="Century Gothic"/>
          </w:rPr>
          <w:t>www.omniarelations.com</w:t>
        </w:r>
      </w:hyperlink>
    </w:p>
    <w:p w14:paraId="714273A6" w14:textId="5E2FBBEC" w:rsidR="006137C2" w:rsidRDefault="006137C2" w:rsidP="002212D5">
      <w:pPr>
        <w:tabs>
          <w:tab w:val="left" w:pos="4640"/>
          <w:tab w:val="left" w:pos="9132"/>
        </w:tabs>
        <w:spacing w:after="0" w:line="751" w:lineRule="auto"/>
        <w:ind w:right="2529"/>
      </w:pPr>
    </w:p>
    <w:sectPr w:rsidR="006137C2" w:rsidSect="00F13BF1">
      <w:headerReference w:type="default" r:id="rId12"/>
      <w:headerReference w:type="first" r:id="rId13"/>
      <w:pgSz w:w="11900" w:h="16840"/>
      <w:pgMar w:top="2835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9AC7" w14:textId="77777777" w:rsidR="00595011" w:rsidRDefault="00595011">
      <w:pPr>
        <w:spacing w:after="0" w:line="240" w:lineRule="auto"/>
      </w:pPr>
      <w:r>
        <w:separator/>
      </w:r>
    </w:p>
  </w:endnote>
  <w:endnote w:type="continuationSeparator" w:id="0">
    <w:p w14:paraId="41492FE5" w14:textId="77777777" w:rsidR="00595011" w:rsidRDefault="005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1852" w14:textId="77777777" w:rsidR="00595011" w:rsidRDefault="00595011">
      <w:pPr>
        <w:spacing w:after="0" w:line="240" w:lineRule="auto"/>
      </w:pPr>
      <w:r>
        <w:separator/>
      </w:r>
    </w:p>
  </w:footnote>
  <w:footnote w:type="continuationSeparator" w:id="0">
    <w:p w14:paraId="2DF4BA3C" w14:textId="77777777" w:rsidR="00595011" w:rsidRDefault="005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6AC6" w14:textId="33EEFFF4" w:rsidR="00F13EDE" w:rsidRDefault="00F13EDE">
    <w:pPr>
      <w:pStyle w:val="Intestazione"/>
      <w:tabs>
        <w:tab w:val="clear" w:pos="9638"/>
        <w:tab w:val="right" w:pos="9612"/>
      </w:tabs>
    </w:pPr>
    <w:r>
      <w:rPr>
        <w:rFonts w:ascii="Arial"/>
        <w:noProof/>
        <w:color w:val="777777"/>
        <w:u w:color="777777"/>
      </w:rPr>
      <w:drawing>
        <wp:inline distT="0" distB="0" distL="0" distR="0" wp14:anchorId="72DE0CBA" wp14:editId="577026CF">
          <wp:extent cx="6116320" cy="1017906"/>
          <wp:effectExtent l="0" t="0" r="5080" b="0"/>
          <wp:docPr id="1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041D" w14:textId="404DFDF7" w:rsidR="00F13EDE" w:rsidRDefault="00F13EDE">
    <w:pPr>
      <w:pStyle w:val="Intestazione"/>
    </w:pPr>
    <w:r>
      <w:rPr>
        <w:rFonts w:ascii="Arial"/>
        <w:noProof/>
        <w:color w:val="777777"/>
        <w:u w:color="777777"/>
      </w:rPr>
      <w:drawing>
        <wp:inline distT="0" distB="0" distL="0" distR="0" wp14:anchorId="0B14D496" wp14:editId="4D5CC18B">
          <wp:extent cx="6116320" cy="1017905"/>
          <wp:effectExtent l="0" t="0" r="0" b="0"/>
          <wp:docPr id="1073741825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7A7"/>
    <w:multiLevelType w:val="hybridMultilevel"/>
    <w:tmpl w:val="993878E2"/>
    <w:lvl w:ilvl="0" w:tplc="F13C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A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6D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47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64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2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A6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F07E15"/>
    <w:multiLevelType w:val="hybridMultilevel"/>
    <w:tmpl w:val="97841A16"/>
    <w:lvl w:ilvl="0" w:tplc="3FEE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4E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A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6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8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6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89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6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357BE"/>
    <w:multiLevelType w:val="hybridMultilevel"/>
    <w:tmpl w:val="AB2AFF76"/>
    <w:lvl w:ilvl="0" w:tplc="0D328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0C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0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0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A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6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41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E8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26679"/>
    <w:multiLevelType w:val="multilevel"/>
    <w:tmpl w:val="127465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D470BBF"/>
    <w:multiLevelType w:val="multilevel"/>
    <w:tmpl w:val="A8FC5D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163A71F1"/>
    <w:multiLevelType w:val="hybridMultilevel"/>
    <w:tmpl w:val="1B6ED34E"/>
    <w:lvl w:ilvl="0" w:tplc="F04C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C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E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4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C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EF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4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A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A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4C2421"/>
    <w:multiLevelType w:val="multilevel"/>
    <w:tmpl w:val="8B9C75D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2E344E4A"/>
    <w:multiLevelType w:val="hybridMultilevel"/>
    <w:tmpl w:val="847AA336"/>
    <w:lvl w:ilvl="0" w:tplc="CC62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E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AC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A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47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9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4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C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5F63B3"/>
    <w:multiLevelType w:val="hybridMultilevel"/>
    <w:tmpl w:val="075A8BCE"/>
    <w:lvl w:ilvl="0" w:tplc="FE50C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E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2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E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4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8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0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A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6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B34BB6"/>
    <w:multiLevelType w:val="hybridMultilevel"/>
    <w:tmpl w:val="76A89C04"/>
    <w:lvl w:ilvl="0" w:tplc="E2F4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43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6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C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6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A3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A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8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D2074C"/>
    <w:multiLevelType w:val="multilevel"/>
    <w:tmpl w:val="5FF21F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47067D2C"/>
    <w:multiLevelType w:val="hybridMultilevel"/>
    <w:tmpl w:val="8AC04E62"/>
    <w:lvl w:ilvl="0" w:tplc="53B6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C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E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8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0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06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E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6B19EF"/>
    <w:multiLevelType w:val="multilevel"/>
    <w:tmpl w:val="12360C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564B436B"/>
    <w:multiLevelType w:val="multilevel"/>
    <w:tmpl w:val="3A5646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57582320"/>
    <w:multiLevelType w:val="multilevel"/>
    <w:tmpl w:val="5D10A6D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61065BDD"/>
    <w:multiLevelType w:val="multilevel"/>
    <w:tmpl w:val="D1C05B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692E4465"/>
    <w:multiLevelType w:val="multilevel"/>
    <w:tmpl w:val="2DFED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6CD3184D"/>
    <w:multiLevelType w:val="multilevel"/>
    <w:tmpl w:val="D41846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75591962"/>
    <w:multiLevelType w:val="hybridMultilevel"/>
    <w:tmpl w:val="16DA3058"/>
    <w:lvl w:ilvl="0" w:tplc="FF32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2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A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6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4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A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C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4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C540E9"/>
    <w:multiLevelType w:val="multilevel"/>
    <w:tmpl w:val="B8D69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9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1"/>
  </w:num>
  <w:num w:numId="17">
    <w:abstractNumId w:val="7"/>
  </w:num>
  <w:num w:numId="18">
    <w:abstractNumId w:val="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2"/>
    <w:rsid w:val="00010B87"/>
    <w:rsid w:val="000164D3"/>
    <w:rsid w:val="00021F00"/>
    <w:rsid w:val="00054328"/>
    <w:rsid w:val="00075618"/>
    <w:rsid w:val="000A54A7"/>
    <w:rsid w:val="000B2201"/>
    <w:rsid w:val="000E5880"/>
    <w:rsid w:val="0012299B"/>
    <w:rsid w:val="00130CBE"/>
    <w:rsid w:val="001B6480"/>
    <w:rsid w:val="00210F9B"/>
    <w:rsid w:val="002212D5"/>
    <w:rsid w:val="00255584"/>
    <w:rsid w:val="00275720"/>
    <w:rsid w:val="002847D3"/>
    <w:rsid w:val="002E0D28"/>
    <w:rsid w:val="00330570"/>
    <w:rsid w:val="00365AB9"/>
    <w:rsid w:val="0037492B"/>
    <w:rsid w:val="003907F4"/>
    <w:rsid w:val="003C259B"/>
    <w:rsid w:val="003C5707"/>
    <w:rsid w:val="003E6D64"/>
    <w:rsid w:val="00413D6D"/>
    <w:rsid w:val="00427FBB"/>
    <w:rsid w:val="00462131"/>
    <w:rsid w:val="00492765"/>
    <w:rsid w:val="004B05CA"/>
    <w:rsid w:val="00517163"/>
    <w:rsid w:val="0052552A"/>
    <w:rsid w:val="00584F4B"/>
    <w:rsid w:val="00587A41"/>
    <w:rsid w:val="00595011"/>
    <w:rsid w:val="005D704C"/>
    <w:rsid w:val="005E4D29"/>
    <w:rsid w:val="006022E2"/>
    <w:rsid w:val="006137C2"/>
    <w:rsid w:val="00673301"/>
    <w:rsid w:val="006A5979"/>
    <w:rsid w:val="006A6132"/>
    <w:rsid w:val="006E3E89"/>
    <w:rsid w:val="006F6B42"/>
    <w:rsid w:val="0070057A"/>
    <w:rsid w:val="00705A4B"/>
    <w:rsid w:val="007102EA"/>
    <w:rsid w:val="0073793A"/>
    <w:rsid w:val="007662A4"/>
    <w:rsid w:val="00774DB5"/>
    <w:rsid w:val="00785BF2"/>
    <w:rsid w:val="007A1DE0"/>
    <w:rsid w:val="007B283E"/>
    <w:rsid w:val="007E39CD"/>
    <w:rsid w:val="0080006D"/>
    <w:rsid w:val="00806D7A"/>
    <w:rsid w:val="00816EF1"/>
    <w:rsid w:val="00871072"/>
    <w:rsid w:val="008A43A3"/>
    <w:rsid w:val="008C6F1D"/>
    <w:rsid w:val="00913B8A"/>
    <w:rsid w:val="0091760F"/>
    <w:rsid w:val="009922ED"/>
    <w:rsid w:val="00993E72"/>
    <w:rsid w:val="009A1E8A"/>
    <w:rsid w:val="009C489B"/>
    <w:rsid w:val="009D2C20"/>
    <w:rsid w:val="00AA394B"/>
    <w:rsid w:val="00AA7943"/>
    <w:rsid w:val="00AF1541"/>
    <w:rsid w:val="00AF793C"/>
    <w:rsid w:val="00B4526C"/>
    <w:rsid w:val="00B735B7"/>
    <w:rsid w:val="00B84ECD"/>
    <w:rsid w:val="00BA7570"/>
    <w:rsid w:val="00BB0B7A"/>
    <w:rsid w:val="00C37B2D"/>
    <w:rsid w:val="00C46793"/>
    <w:rsid w:val="00CA4609"/>
    <w:rsid w:val="00CE23F9"/>
    <w:rsid w:val="00D16046"/>
    <w:rsid w:val="00D420A7"/>
    <w:rsid w:val="00D67833"/>
    <w:rsid w:val="00D84C2E"/>
    <w:rsid w:val="00DD1FD0"/>
    <w:rsid w:val="00E13198"/>
    <w:rsid w:val="00E770DC"/>
    <w:rsid w:val="00E93276"/>
    <w:rsid w:val="00F13BF1"/>
    <w:rsid w:val="00F13EDE"/>
    <w:rsid w:val="00F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BAAD6"/>
  <w15:docId w15:val="{E5050095-8107-45B9-B95A-39C1DBF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7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DC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2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niarela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sandra.iozzia@omniarel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caliceti@omniarelatio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F261D-FAF1-4AB4-AFCB-1DBB015D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Martinelli</dc:creator>
  <cp:lastModifiedBy>Elena Tartaglione</cp:lastModifiedBy>
  <cp:revision>3</cp:revision>
  <dcterms:created xsi:type="dcterms:W3CDTF">2016-05-13T13:14:00Z</dcterms:created>
  <dcterms:modified xsi:type="dcterms:W3CDTF">2016-05-13T13:43:00Z</dcterms:modified>
</cp:coreProperties>
</file>